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E4" w:rsidRPr="005F38E4" w:rsidRDefault="005F38E4" w:rsidP="00A71AC8">
      <w:pPr>
        <w:pStyle w:val="Heading1"/>
        <w:suppressAutoHyphens/>
        <w:contextualSpacing/>
      </w:pPr>
      <w:bookmarkStart w:id="0" w:name="_GoBack"/>
      <w:bookmarkEnd w:id="0"/>
      <w:r w:rsidRPr="005F38E4">
        <w:t xml:space="preserve">CJ 467 </w:t>
      </w:r>
      <w:r w:rsidR="00414184" w:rsidRPr="005F38E4">
        <w:t xml:space="preserve">Threat Scale Worksheet </w:t>
      </w:r>
    </w:p>
    <w:p w:rsidR="005F38E4" w:rsidRPr="005F38E4" w:rsidRDefault="005F38E4" w:rsidP="00A71AC8">
      <w:pPr>
        <w:suppressAutoHyphens/>
        <w:contextualSpacing/>
        <w:jc w:val="center"/>
        <w:rPr>
          <w:b/>
          <w:szCs w:val="28"/>
          <w:lang w:bidi="en-US"/>
        </w:rPr>
      </w:pPr>
    </w:p>
    <w:p w:rsidR="00414184" w:rsidRPr="005F38E4" w:rsidRDefault="00414184" w:rsidP="00A71AC8">
      <w:pPr>
        <w:suppressAutoHyphens/>
        <w:contextualSpacing/>
        <w:jc w:val="center"/>
        <w:rPr>
          <w:b/>
          <w:szCs w:val="28"/>
          <w:lang w:bidi="en-US"/>
        </w:rPr>
      </w:pPr>
      <w:r w:rsidRPr="005F38E4">
        <w:rPr>
          <w:b/>
          <w:szCs w:val="28"/>
          <w:lang w:bidi="en-US"/>
        </w:rPr>
        <w:t>(Threat-Act of Violence)</w:t>
      </w:r>
    </w:p>
    <w:p w:rsidR="00414184" w:rsidRPr="005F38E4" w:rsidRDefault="00A71AC8" w:rsidP="00A71AC8">
      <w:pPr>
        <w:suppressAutoHyphens/>
        <w:contextualSpacing/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“0” Little to None/</w:t>
      </w:r>
      <w:r w:rsidR="00414184" w:rsidRPr="005F38E4">
        <w:rPr>
          <w:b/>
          <w:szCs w:val="28"/>
          <w:lang w:bidi="en-US"/>
        </w:rPr>
        <w:t>“10” High Probability</w:t>
      </w:r>
    </w:p>
    <w:p w:rsidR="00414184" w:rsidRDefault="00414184" w:rsidP="00A71AC8">
      <w:pPr>
        <w:suppressAutoHyphens/>
        <w:contextualSpacing/>
        <w:rPr>
          <w:lang w:bidi="en-US"/>
        </w:rPr>
      </w:pPr>
    </w:p>
    <w:p w:rsidR="00414184" w:rsidRPr="00F2404B" w:rsidRDefault="00414184" w:rsidP="00A71AC8">
      <w:pPr>
        <w:suppressAutoHyphens/>
        <w:contextualSpacing/>
        <w:rPr>
          <w:sz w:val="22"/>
          <w:lang w:bidi="en-US"/>
        </w:rPr>
      </w:pPr>
      <w:r w:rsidRPr="00F2404B">
        <w:rPr>
          <w:sz w:val="22"/>
          <w:lang w:bidi="en-US"/>
        </w:rPr>
        <w:t>Name: __________________________________</w:t>
      </w:r>
    </w:p>
    <w:p w:rsidR="00414184" w:rsidRDefault="00414184" w:rsidP="00A71AC8">
      <w:pPr>
        <w:suppressAutoHyphens/>
        <w:contextualSpacing/>
        <w:rPr>
          <w:lang w:bidi="en-US"/>
        </w:rPr>
      </w:pPr>
    </w:p>
    <w:tbl>
      <w:tblPr>
        <w:tblStyle w:val="TableGrid"/>
        <w:tblW w:w="14354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766"/>
        <w:gridCol w:w="844"/>
        <w:gridCol w:w="2339"/>
        <w:gridCol w:w="2339"/>
        <w:gridCol w:w="2432"/>
        <w:gridCol w:w="2299"/>
      </w:tblGrid>
      <w:tr w:rsidR="00414184" w:rsidTr="00A71AC8">
        <w:trPr>
          <w:trHeight w:val="98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4" w:rsidRPr="00E42A15" w:rsidRDefault="00414184" w:rsidP="00A71AC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E42A15">
              <w:rPr>
                <w:b/>
                <w:sz w:val="22"/>
                <w:szCs w:val="22"/>
              </w:rPr>
              <w:t>Identify Target</w:t>
            </w:r>
          </w:p>
          <w:p w:rsidR="00414184" w:rsidRPr="007F54A4" w:rsidRDefault="00414184" w:rsidP="00A71AC8">
            <w:pPr>
              <w:suppressAutoHyphens/>
              <w:contextualSpacing/>
              <w:jc w:val="center"/>
              <w:rPr>
                <w:sz w:val="22"/>
              </w:rPr>
            </w:pPr>
            <w:r w:rsidRPr="00A71AC8">
              <w:rPr>
                <w:i/>
                <w:sz w:val="20"/>
              </w:rPr>
              <w:t>(What target needs protecting?)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E42A15" w:rsidRDefault="00414184" w:rsidP="00A71AC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E42A15">
              <w:rPr>
                <w:b/>
                <w:sz w:val="22"/>
                <w:szCs w:val="22"/>
              </w:rPr>
              <w:t>Analysis of Threat</w:t>
            </w:r>
          </w:p>
          <w:p w:rsidR="00414184" w:rsidRPr="00A71AC8" w:rsidRDefault="00414184" w:rsidP="00A71AC8">
            <w:pPr>
              <w:suppressAutoHyphens/>
              <w:contextualSpacing/>
              <w:jc w:val="center"/>
              <w:rPr>
                <w:b/>
                <w:sz w:val="32"/>
              </w:rPr>
            </w:pPr>
            <w:r w:rsidRPr="00A71AC8">
              <w:rPr>
                <w:i/>
                <w:sz w:val="20"/>
              </w:rPr>
              <w:t>(Who is the threat?)</w:t>
            </w:r>
          </w:p>
          <w:p w:rsidR="00414184" w:rsidRPr="007F54A4" w:rsidRDefault="00414184" w:rsidP="00A71AC8">
            <w:pPr>
              <w:suppressAutoHyphens/>
              <w:contextualSpacing/>
              <w:jc w:val="center"/>
              <w:rPr>
                <w:b/>
              </w:rPr>
            </w:pPr>
          </w:p>
          <w:p w:rsidR="00414184" w:rsidRPr="007F54A4" w:rsidRDefault="00414184" w:rsidP="00A71AC8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E42A15" w:rsidRDefault="00414184" w:rsidP="00A71AC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E42A15">
              <w:rPr>
                <w:b/>
                <w:sz w:val="22"/>
                <w:szCs w:val="22"/>
              </w:rPr>
              <w:t>Identify Vulnerabilities</w:t>
            </w:r>
          </w:p>
          <w:p w:rsidR="00414184" w:rsidRPr="007F54A4" w:rsidRDefault="00414184" w:rsidP="00A71AC8">
            <w:pPr>
              <w:suppressAutoHyphen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E42A15" w:rsidRDefault="00414184" w:rsidP="00A71AC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E42A15">
              <w:rPr>
                <w:b/>
                <w:sz w:val="22"/>
                <w:szCs w:val="22"/>
              </w:rPr>
              <w:t xml:space="preserve">Assessment of </w:t>
            </w:r>
          </w:p>
          <w:p w:rsidR="00414184" w:rsidRPr="00E42A15" w:rsidRDefault="00414184" w:rsidP="00A71AC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E42A15">
              <w:rPr>
                <w:b/>
                <w:sz w:val="22"/>
                <w:szCs w:val="22"/>
              </w:rPr>
              <w:t>Threats</w:t>
            </w:r>
          </w:p>
          <w:p w:rsidR="00414184" w:rsidRPr="00E42A15" w:rsidRDefault="00414184" w:rsidP="00A71AC8">
            <w:pPr>
              <w:suppressAutoHyphens/>
              <w:contextualSpacing/>
              <w:jc w:val="center"/>
              <w:rPr>
                <w:i/>
                <w:sz w:val="20"/>
                <w:szCs w:val="20"/>
              </w:rPr>
            </w:pPr>
            <w:r w:rsidRPr="00E42A15">
              <w:rPr>
                <w:i/>
                <w:sz w:val="20"/>
                <w:szCs w:val="20"/>
              </w:rPr>
              <w:t>(What is the risk/level of damage</w:t>
            </w:r>
            <w:r w:rsidR="00F2404B">
              <w:rPr>
                <w:i/>
                <w:sz w:val="20"/>
                <w:szCs w:val="20"/>
              </w:rPr>
              <w:t xml:space="preserve"> that</w:t>
            </w:r>
            <w:r w:rsidRPr="00E42A15">
              <w:rPr>
                <w:i/>
                <w:sz w:val="20"/>
                <w:szCs w:val="20"/>
              </w:rPr>
              <w:t xml:space="preserve"> the adversary could inflict</w:t>
            </w:r>
            <w:r>
              <w:rPr>
                <w:i/>
                <w:sz w:val="20"/>
                <w:szCs w:val="20"/>
              </w:rPr>
              <w:t>?</w:t>
            </w:r>
            <w:r w:rsidRPr="00E42A15">
              <w:rPr>
                <w:i/>
                <w:sz w:val="20"/>
                <w:szCs w:val="20"/>
              </w:rPr>
              <w:t>)</w:t>
            </w:r>
          </w:p>
          <w:p w:rsidR="00414184" w:rsidRPr="00E42A15" w:rsidRDefault="00414184" w:rsidP="00A71AC8">
            <w:pPr>
              <w:suppressAutoHyphens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414184" w:rsidRPr="00E42A15" w:rsidRDefault="00414184" w:rsidP="00A71AC8">
            <w:pPr>
              <w:suppressAutoHyphens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F2404B">
              <w:rPr>
                <w:b/>
                <w:i/>
                <w:sz w:val="20"/>
                <w:szCs w:val="20"/>
              </w:rPr>
              <w:t>1 (low)–</w:t>
            </w:r>
            <w:r w:rsidRPr="00E42A15">
              <w:rPr>
                <w:b/>
                <w:i/>
                <w:sz w:val="20"/>
                <w:szCs w:val="20"/>
              </w:rPr>
              <w:t>10 (high)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4B" w:rsidRDefault="00414184" w:rsidP="00A71AC8">
            <w:pPr>
              <w:suppressAutoHyphens/>
              <w:contextualSpacing/>
              <w:jc w:val="center"/>
              <w:rPr>
                <w:b/>
              </w:rPr>
            </w:pPr>
            <w:r w:rsidRPr="00E42A15">
              <w:rPr>
                <w:b/>
                <w:sz w:val="22"/>
                <w:szCs w:val="22"/>
              </w:rPr>
              <w:t>Application of Countermeasures</w:t>
            </w:r>
            <w:r w:rsidRPr="007F54A4">
              <w:rPr>
                <w:b/>
              </w:rPr>
              <w:t xml:space="preserve"> </w:t>
            </w:r>
          </w:p>
          <w:p w:rsidR="00414184" w:rsidRPr="007F54A4" w:rsidRDefault="00414184" w:rsidP="00A71AC8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(What actions are we </w:t>
            </w:r>
            <w:proofErr w:type="spellStart"/>
            <w:r>
              <w:rPr>
                <w:i/>
                <w:sz w:val="20"/>
                <w:szCs w:val="20"/>
              </w:rPr>
              <w:t>taking</w:t>
            </w:r>
            <w:proofErr w:type="spellEnd"/>
            <w:r>
              <w:rPr>
                <w:i/>
                <w:sz w:val="20"/>
                <w:szCs w:val="20"/>
              </w:rPr>
              <w:t xml:space="preserve"> to reduce vulnerabilities/risk?)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E4" w:rsidRDefault="00414184" w:rsidP="00A71AC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E42A15">
              <w:rPr>
                <w:b/>
                <w:sz w:val="22"/>
                <w:szCs w:val="22"/>
              </w:rPr>
              <w:t xml:space="preserve">Risk After Countermeasures Are Applied </w:t>
            </w:r>
          </w:p>
          <w:p w:rsidR="00414184" w:rsidRPr="005F38E4" w:rsidRDefault="005F38E4" w:rsidP="00A71AC8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F38E4">
              <w:rPr>
                <w:i/>
                <w:sz w:val="20"/>
                <w:szCs w:val="20"/>
              </w:rPr>
              <w:t>(Is the r</w:t>
            </w:r>
            <w:r w:rsidR="00414184" w:rsidRPr="005F38E4">
              <w:rPr>
                <w:i/>
                <w:sz w:val="20"/>
                <w:szCs w:val="20"/>
              </w:rPr>
              <w:t xml:space="preserve">isk </w:t>
            </w:r>
            <w:r w:rsidRPr="005F38E4">
              <w:rPr>
                <w:i/>
                <w:sz w:val="20"/>
                <w:szCs w:val="20"/>
              </w:rPr>
              <w:t>a</w:t>
            </w:r>
            <w:r w:rsidR="00414184" w:rsidRPr="005F38E4">
              <w:rPr>
                <w:i/>
                <w:sz w:val="20"/>
                <w:szCs w:val="20"/>
              </w:rPr>
              <w:t>cceptable</w:t>
            </w:r>
            <w:r w:rsidRPr="005F38E4">
              <w:rPr>
                <w:i/>
                <w:sz w:val="20"/>
                <w:szCs w:val="20"/>
              </w:rPr>
              <w:t>?)</w:t>
            </w:r>
          </w:p>
        </w:tc>
      </w:tr>
      <w:tr w:rsidR="00F2404B" w:rsidTr="00A71AC8">
        <w:trPr>
          <w:trHeight w:val="80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</w:pPr>
            <w:r>
              <w:rPr>
                <w:sz w:val="16"/>
                <w:highlight w:val="yellow"/>
              </w:rPr>
              <w:t>New Hampshire Power Plant (Electric)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</w:pPr>
            <w:r>
              <w:rPr>
                <w:sz w:val="16"/>
                <w:highlight w:val="yellow"/>
              </w:rPr>
              <w:t>Radical group calling themselves the “</w:t>
            </w:r>
            <w:proofErr w:type="spellStart"/>
            <w:r>
              <w:rPr>
                <w:sz w:val="16"/>
                <w:highlight w:val="yellow"/>
              </w:rPr>
              <w:t>Boyz</w:t>
            </w:r>
            <w:proofErr w:type="spellEnd"/>
            <w:r w:rsidR="00F2404B">
              <w:rPr>
                <w:sz w:val="16"/>
                <w:highlight w:val="yellow"/>
              </w:rPr>
              <w:t>.</w:t>
            </w:r>
            <w:r>
              <w:rPr>
                <w:sz w:val="16"/>
                <w:highlight w:val="yellow"/>
              </w:rPr>
              <w:t xml:space="preserve">” These </w:t>
            </w:r>
            <w:proofErr w:type="spellStart"/>
            <w:r>
              <w:rPr>
                <w:sz w:val="16"/>
                <w:highlight w:val="yellow"/>
              </w:rPr>
              <w:t>Boyz</w:t>
            </w:r>
            <w:proofErr w:type="spellEnd"/>
            <w:r>
              <w:rPr>
                <w:sz w:val="16"/>
                <w:highlight w:val="yellow"/>
              </w:rPr>
              <w:t xml:space="preserve"> have a membership of 200. They have been known to use extreme violence in carrying their missions out. Based on intelligence collected by law enforcement</w:t>
            </w:r>
            <w:r w:rsidR="00F2404B">
              <w:rPr>
                <w:sz w:val="16"/>
                <w:highlight w:val="yellow"/>
              </w:rPr>
              <w:t>,</w:t>
            </w:r>
            <w:r>
              <w:rPr>
                <w:sz w:val="16"/>
                <w:highlight w:val="yellow"/>
              </w:rPr>
              <w:t xml:space="preserve"> it is</w:t>
            </w:r>
            <w:r w:rsidR="00F2404B">
              <w:rPr>
                <w:sz w:val="16"/>
                <w:highlight w:val="yellow"/>
              </w:rPr>
              <w:t xml:space="preserve"> believed that they will try to</w:t>
            </w:r>
            <w:r>
              <w:rPr>
                <w:sz w:val="16"/>
                <w:highlight w:val="yellow"/>
              </w:rPr>
              <w:t xml:space="preserve"> breach the power plant perimeter and commit terrorist acts causing the power to turn off.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Back of the power plant is next to the w</w:t>
            </w:r>
            <w:r w:rsidR="00F2404B">
              <w:rPr>
                <w:sz w:val="16"/>
                <w:highlight w:val="yellow"/>
              </w:rPr>
              <w:t>ater/canal opens into the ocean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Fence is missing in areas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Security staff is at 70%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Employees are not trained for detection/recognition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No electronic equipment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</w:pPr>
            <w:r>
              <w:rPr>
                <w:sz w:val="16"/>
                <w:highlight w:val="yellow"/>
              </w:rPr>
              <w:t>No entry control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</w:pPr>
            <w:r w:rsidRPr="00DF00B4">
              <w:rPr>
                <w:sz w:val="16"/>
                <w:highlight w:val="yellow"/>
              </w:rPr>
              <w:t>High Risk</w:t>
            </w:r>
            <w:r>
              <w:rPr>
                <w:sz w:val="16"/>
                <w:highlight w:val="yellow"/>
              </w:rPr>
              <w:t xml:space="preserve"> (9)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Have the Coast Guard monitor the water area around the power plant for the duration of this threat.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Supplement security with Federal Marshals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In</w:t>
            </w:r>
            <w:r w:rsidR="00F2404B">
              <w:rPr>
                <w:sz w:val="16"/>
                <w:highlight w:val="yellow"/>
              </w:rPr>
              <w:t>stall video recording equipment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Establish walking patrols that overlap</w:t>
            </w: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</w:pPr>
            <w:r>
              <w:rPr>
                <w:sz w:val="16"/>
                <w:highlight w:val="yellow"/>
              </w:rPr>
              <w:t>Establish entry control procedures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:rsidR="00414184" w:rsidRPr="00DF00B4" w:rsidRDefault="00414184" w:rsidP="00A71AC8">
            <w:pPr>
              <w:suppressAutoHyphens/>
              <w:contextualSpacing/>
              <w:rPr>
                <w:b/>
                <w:sz w:val="16"/>
                <w:highlight w:val="yellow"/>
              </w:rPr>
            </w:pPr>
          </w:p>
          <w:p w:rsidR="00414184" w:rsidRDefault="00414184" w:rsidP="00A71AC8">
            <w:pPr>
              <w:suppressAutoHyphens/>
              <w:contextualSpacing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Low risk (3)</w:t>
            </w:r>
          </w:p>
          <w:p w:rsidR="00414184" w:rsidRDefault="00414184" w:rsidP="00A71AC8">
            <w:pPr>
              <w:suppressAutoHyphens/>
              <w:contextualSpacing/>
            </w:pPr>
            <w:r>
              <w:rPr>
                <w:sz w:val="16"/>
                <w:highlight w:val="yellow"/>
              </w:rPr>
              <w:t>(After applying the countermeasures</w:t>
            </w:r>
            <w:r w:rsidR="00A71AC8">
              <w:rPr>
                <w:sz w:val="16"/>
                <w:highlight w:val="yellow"/>
              </w:rPr>
              <w:t>,</w:t>
            </w:r>
            <w:r>
              <w:rPr>
                <w:sz w:val="16"/>
                <w:highlight w:val="yellow"/>
              </w:rPr>
              <w:t xml:space="preserve"> it is unlikely </w:t>
            </w:r>
            <w:r w:rsidR="00A71AC8">
              <w:rPr>
                <w:sz w:val="16"/>
                <w:highlight w:val="yellow"/>
              </w:rPr>
              <w:t xml:space="preserve">that </w:t>
            </w:r>
            <w:r>
              <w:rPr>
                <w:sz w:val="16"/>
                <w:highlight w:val="yellow"/>
              </w:rPr>
              <w:t>anyone would successfully penetrate thi</w:t>
            </w:r>
            <w:r w:rsidR="00A71AC8">
              <w:rPr>
                <w:sz w:val="16"/>
                <w:highlight w:val="yellow"/>
              </w:rPr>
              <w:t>s power plant from the exterior</w:t>
            </w:r>
            <w:r>
              <w:rPr>
                <w:sz w:val="16"/>
                <w:highlight w:val="yellow"/>
              </w:rPr>
              <w:t>)</w:t>
            </w:r>
          </w:p>
        </w:tc>
      </w:tr>
      <w:tr w:rsidR="00F2404B" w:rsidTr="00A71AC8">
        <w:trPr>
          <w:trHeight w:val="89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</w:tr>
      <w:tr w:rsidR="00F2404B" w:rsidTr="00A71AC8">
        <w:trPr>
          <w:trHeight w:val="89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</w:tr>
      <w:tr w:rsidR="00F2404B" w:rsidTr="00A71AC8">
        <w:trPr>
          <w:trHeight w:val="82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4" w:rsidRDefault="00414184" w:rsidP="00A71AC8">
            <w:pPr>
              <w:suppressAutoHyphens/>
              <w:contextualSpacing/>
            </w:pPr>
          </w:p>
        </w:tc>
      </w:tr>
    </w:tbl>
    <w:p w:rsidR="002F2361" w:rsidRPr="00A71AC8" w:rsidRDefault="002F2361" w:rsidP="00A71AC8">
      <w:pPr>
        <w:suppressAutoHyphens/>
        <w:contextualSpacing/>
        <w:rPr>
          <w:sz w:val="2"/>
        </w:rPr>
      </w:pPr>
    </w:p>
    <w:sectPr w:rsidR="002F2361" w:rsidRPr="00A71AC8" w:rsidSect="004D3A96"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74" w:rsidRDefault="00316B74" w:rsidP="005F38E4">
      <w:r>
        <w:separator/>
      </w:r>
    </w:p>
  </w:endnote>
  <w:endnote w:type="continuationSeparator" w:id="0">
    <w:p w:rsidR="00316B74" w:rsidRDefault="00316B74" w:rsidP="005F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74" w:rsidRDefault="00316B74" w:rsidP="005F38E4">
      <w:r>
        <w:separator/>
      </w:r>
    </w:p>
  </w:footnote>
  <w:footnote w:type="continuationSeparator" w:id="0">
    <w:p w:rsidR="00316B74" w:rsidRDefault="00316B74" w:rsidP="005F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E4" w:rsidRDefault="005F38E4" w:rsidP="005F38E4">
    <w:pPr>
      <w:pStyle w:val="Header"/>
      <w:jc w:val="center"/>
    </w:pPr>
    <w:r>
      <w:rPr>
        <w:noProof/>
      </w:rPr>
      <w:drawing>
        <wp:inline distT="0" distB="0" distL="0" distR="0" wp14:anchorId="14F91D30" wp14:editId="33E176D5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4"/>
    <w:rsid w:val="001A7A30"/>
    <w:rsid w:val="002F2361"/>
    <w:rsid w:val="00316B74"/>
    <w:rsid w:val="00414184"/>
    <w:rsid w:val="004E112B"/>
    <w:rsid w:val="005F38E4"/>
    <w:rsid w:val="00A71AC8"/>
    <w:rsid w:val="00F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63D0D-DC13-4DFF-AD76-7813155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84"/>
    <w:pPr>
      <w:spacing w:after="0" w:line="240" w:lineRule="auto"/>
    </w:pPr>
    <w:rPr>
      <w:rFonts w:ascii="Calibri" w:hAnsi="Calibri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E4"/>
    <w:pPr>
      <w:jc w:val="center"/>
      <w:outlineLvl w:val="0"/>
    </w:pPr>
    <w:rPr>
      <w:b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84"/>
    <w:pPr>
      <w:spacing w:after="0" w:line="240" w:lineRule="auto"/>
    </w:pPr>
    <w:rPr>
      <w:rFonts w:ascii="Calibri" w:hAnsi="Calibr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E4"/>
    <w:rPr>
      <w:rFonts w:ascii="Calibri" w:hAnsi="Calibri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5F3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E4"/>
    <w:rPr>
      <w:rFonts w:ascii="Calibri" w:hAnsi="Calibri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8E4"/>
    <w:rPr>
      <w:rFonts w:ascii="Calibri" w:hAnsi="Calibri"/>
      <w:b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D037-86BD-4801-BEDB-65D55519B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C0E53-C363-42E9-87B5-B2BAB01AE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78238-6D33-498D-A0B1-5331ED9E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A42E4-A9CB-4644-818B-6FC00AAB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Flower, Bruce</dc:creator>
  <cp:keywords/>
  <dc:description/>
  <cp:lastModifiedBy>Alvarez, Michelle</cp:lastModifiedBy>
  <cp:revision>2</cp:revision>
  <dcterms:created xsi:type="dcterms:W3CDTF">2017-10-11T18:18:00Z</dcterms:created>
  <dcterms:modified xsi:type="dcterms:W3CDTF">2017-10-11T18:18:00Z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